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7130315A"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sidR="0071233F">
                              <w:rPr>
                                <w:rStyle w:val="MainHeading"/>
                                <w:sz w:val="24"/>
                                <w:szCs w:val="24"/>
                              </w:rPr>
                              <w:t>Medical Expert</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6B68B6">
                              <w:rPr>
                                <w:rStyle w:val="MainHeading"/>
                                <w:sz w:val="24"/>
                                <w:szCs w:val="24"/>
                              </w:rPr>
                              <w:t>1</w:t>
                            </w:r>
                            <w:r w:rsidRPr="00714FE1">
                              <w:rPr>
                                <w:rStyle w:val="MainHeading"/>
                                <w:sz w:val="24"/>
                                <w:szCs w:val="24"/>
                              </w:rPr>
                              <w:br/>
                            </w:r>
                            <w:r w:rsidR="006B68B6">
                              <w:rPr>
                                <w:rStyle w:val="MainHeading"/>
                                <w:sz w:val="24"/>
                                <w:szCs w:val="24"/>
                              </w:rPr>
                              <w:t>Lecture or Large Group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7130315A"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sidR="0071233F">
                        <w:rPr>
                          <w:rStyle w:val="MainHeading"/>
                          <w:sz w:val="24"/>
                          <w:szCs w:val="24"/>
                        </w:rPr>
                        <w:t>Medical Expert</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6B68B6">
                        <w:rPr>
                          <w:rStyle w:val="MainHeading"/>
                          <w:sz w:val="24"/>
                          <w:szCs w:val="24"/>
                        </w:rPr>
                        <w:t>1</w:t>
                      </w:r>
                      <w:r w:rsidRPr="00714FE1">
                        <w:rPr>
                          <w:rStyle w:val="MainHeading"/>
                          <w:sz w:val="24"/>
                          <w:szCs w:val="24"/>
                        </w:rPr>
                        <w:br/>
                      </w:r>
                      <w:r w:rsidR="006B68B6">
                        <w:rPr>
                          <w:rStyle w:val="MainHeading"/>
                          <w:sz w:val="24"/>
                          <w:szCs w:val="24"/>
                        </w:rPr>
                        <w:t>Lecture or Large Group Session</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53D5B11" w14:textId="35A27F29" w:rsidR="0071233F" w:rsidRPr="0071233F" w:rsidRDefault="0071233F" w:rsidP="0071233F">
      <w:pPr>
        <w:rPr>
          <w:b/>
          <w:sz w:val="28"/>
          <w:szCs w:val="28"/>
        </w:rPr>
      </w:pPr>
      <w:r w:rsidRPr="0071233F">
        <w:rPr>
          <w:b/>
          <w:sz w:val="28"/>
          <w:szCs w:val="28"/>
        </w:rPr>
        <w:t xml:space="preserve">Foundations of </w:t>
      </w:r>
      <w:r w:rsidR="00797442">
        <w:rPr>
          <w:b/>
          <w:sz w:val="28"/>
          <w:szCs w:val="28"/>
        </w:rPr>
        <w:t>the</w:t>
      </w:r>
      <w:r w:rsidRPr="0071233F">
        <w:rPr>
          <w:b/>
          <w:sz w:val="28"/>
          <w:szCs w:val="28"/>
        </w:rPr>
        <w:t xml:space="preserve"> Medical Expert R</w:t>
      </w:r>
      <w:r w:rsidR="00797442">
        <w:rPr>
          <w:b/>
          <w:sz w:val="28"/>
          <w:szCs w:val="28"/>
        </w:rPr>
        <w:t>ole</w:t>
      </w:r>
      <w:r w:rsidRPr="0071233F">
        <w:rPr>
          <w:b/>
          <w:sz w:val="28"/>
          <w:szCs w:val="28"/>
        </w:rPr>
        <w:t xml:space="preserve"> </w:t>
      </w:r>
    </w:p>
    <w:p w14:paraId="00507886" w14:textId="77777777" w:rsidR="0071233F" w:rsidRPr="0071233F" w:rsidRDefault="0071233F" w:rsidP="0071233F"/>
    <w:p w14:paraId="0CC2C988" w14:textId="2799FAA2" w:rsidR="00B83AE8" w:rsidRPr="00107594" w:rsidRDefault="00B83AE8" w:rsidP="00B83AE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07594">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27BA0D39" w14:textId="77777777" w:rsidR="00B83AE8" w:rsidRPr="00107594" w:rsidRDefault="00B83AE8" w:rsidP="00B83AE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07594">
        <w:rPr>
          <w:b/>
          <w:bCs/>
          <w:i/>
          <w:iCs/>
          <w:sz w:val="18"/>
          <w:szCs w:val="18"/>
          <w:lang w:val="en-CA"/>
        </w:rPr>
        <w:t>NOTICE:  The content below may have been modified from its original form and may not represent the opinion or views of the Royal College.</w:t>
      </w:r>
    </w:p>
    <w:p w14:paraId="403181B0" w14:textId="77777777" w:rsidR="0071233F" w:rsidRPr="0071233F" w:rsidRDefault="0071233F" w:rsidP="0071233F">
      <w:pPr>
        <w:rPr>
          <w:b/>
        </w:rPr>
      </w:pPr>
      <w:r w:rsidRPr="0071233F">
        <w:rPr>
          <w:b/>
        </w:rPr>
        <w:t>This learning activity includes:</w:t>
      </w:r>
    </w:p>
    <w:p w14:paraId="46491940" w14:textId="54D148BA" w:rsidR="0071233F" w:rsidRPr="0071233F" w:rsidRDefault="0071233F" w:rsidP="0071233F">
      <w:pPr>
        <w:pStyle w:val="ListParagraph"/>
        <w:numPr>
          <w:ilvl w:val="0"/>
          <w:numId w:val="10"/>
        </w:numPr>
      </w:pPr>
      <w:r w:rsidRPr="0071233F">
        <w:t>Presentation: Teaching and Assessing Medical Expert (T2)</w:t>
      </w:r>
    </w:p>
    <w:p w14:paraId="7D5A7DB2" w14:textId="741F0C82" w:rsidR="0071233F" w:rsidRPr="0071233F" w:rsidRDefault="0071233F" w:rsidP="0071233F">
      <w:pPr>
        <w:pStyle w:val="ListParagraph"/>
        <w:numPr>
          <w:ilvl w:val="0"/>
          <w:numId w:val="10"/>
        </w:numPr>
      </w:pPr>
      <w:r w:rsidRPr="0071233F">
        <w:t>Worksheet: Medical Expert Competence Continuum in day-to-day practice (T3)</w:t>
      </w:r>
    </w:p>
    <w:p w14:paraId="13950084" w14:textId="77777777" w:rsidR="0071233F" w:rsidRPr="0071233F" w:rsidRDefault="0071233F" w:rsidP="0071233F"/>
    <w:p w14:paraId="56417C2D" w14:textId="77777777" w:rsidR="0071233F" w:rsidRPr="0071233F" w:rsidRDefault="0071233F" w:rsidP="0071233F">
      <w:pPr>
        <w:rPr>
          <w:b/>
        </w:rPr>
      </w:pPr>
      <w:r w:rsidRPr="0071233F">
        <w:rPr>
          <w:b/>
        </w:rPr>
        <w:t>Instructions for Teacher:</w:t>
      </w:r>
    </w:p>
    <w:p w14:paraId="2945BB57" w14:textId="77777777" w:rsidR="0071233F" w:rsidRPr="0071233F" w:rsidRDefault="0071233F" w:rsidP="0071233F">
      <w:r w:rsidRPr="0071233F">
        <w:t>Sample learning objectives</w:t>
      </w:r>
    </w:p>
    <w:p w14:paraId="7330CF25" w14:textId="77777777" w:rsidR="0071233F" w:rsidRPr="0071233F" w:rsidRDefault="0071233F" w:rsidP="0071233F">
      <w:pPr>
        <w:ind w:left="720" w:hanging="360"/>
      </w:pPr>
      <w:r w:rsidRPr="0071233F">
        <w:t>•</w:t>
      </w:r>
      <w:r w:rsidRPr="0071233F">
        <w:tab/>
        <w:t>Recognize common words related to the process and content of the Medical Expert Role</w:t>
      </w:r>
    </w:p>
    <w:p w14:paraId="3287B6C7" w14:textId="77777777" w:rsidR="0071233F" w:rsidRPr="0071233F" w:rsidRDefault="0071233F" w:rsidP="0071233F">
      <w:pPr>
        <w:ind w:left="720" w:hanging="360"/>
      </w:pPr>
      <w:r w:rsidRPr="0071233F">
        <w:t>•</w:t>
      </w:r>
      <w:r w:rsidRPr="0071233F">
        <w:tab/>
        <w:t>Describe the Role of Medical Expert within the CanMEDS 2015 Framework</w:t>
      </w:r>
    </w:p>
    <w:p w14:paraId="1B7BBF32" w14:textId="77777777" w:rsidR="0071233F" w:rsidRPr="0071233F" w:rsidRDefault="0071233F" w:rsidP="0071233F">
      <w:pPr>
        <w:ind w:left="720" w:hanging="360"/>
      </w:pPr>
      <w:r w:rsidRPr="0071233F">
        <w:t>•</w:t>
      </w:r>
      <w:r w:rsidRPr="0071233F">
        <w:tab/>
        <w:t>Apply the Medical Expert competence continuum to your own program or specialty</w:t>
      </w:r>
    </w:p>
    <w:p w14:paraId="75629EE7" w14:textId="77777777" w:rsidR="0071233F" w:rsidRPr="0071233F" w:rsidRDefault="0071233F" w:rsidP="0071233F">
      <w:pPr>
        <w:ind w:left="720" w:hanging="360"/>
      </w:pPr>
      <w:r w:rsidRPr="0071233F">
        <w:t>•</w:t>
      </w:r>
      <w:r w:rsidRPr="0071233F">
        <w:tab/>
        <w:t>Identify opportunities to integrate other CanMEDS Roles into the teaching and assessment of Medical Expert</w:t>
      </w:r>
    </w:p>
    <w:p w14:paraId="6376F788" w14:textId="77777777" w:rsidR="0071233F" w:rsidRPr="0071233F" w:rsidRDefault="0071233F" w:rsidP="0071233F"/>
    <w:p w14:paraId="660300BC" w14:textId="77777777" w:rsidR="0071233F" w:rsidRPr="0071233F" w:rsidRDefault="0071233F" w:rsidP="0071233F">
      <w:r w:rsidRPr="0071233F">
        <w:rPr>
          <w:b/>
        </w:rPr>
        <w:t>Audience:</w:t>
      </w:r>
      <w:r w:rsidRPr="0071233F">
        <w:t xml:space="preserve"> All learners</w:t>
      </w:r>
    </w:p>
    <w:p w14:paraId="1C400E75" w14:textId="77777777" w:rsidR="0071233F" w:rsidRPr="0071233F" w:rsidRDefault="0071233F" w:rsidP="0071233F"/>
    <w:p w14:paraId="60775008" w14:textId="77777777" w:rsidR="0071233F" w:rsidRPr="0071233F" w:rsidRDefault="0071233F" w:rsidP="0071233F">
      <w:pPr>
        <w:rPr>
          <w:b/>
        </w:rPr>
      </w:pPr>
      <w:r w:rsidRPr="0071233F">
        <w:rPr>
          <w:b/>
        </w:rPr>
        <w:t xml:space="preserve">How to adapt: </w:t>
      </w:r>
    </w:p>
    <w:p w14:paraId="5C461F37" w14:textId="04B9E0ED" w:rsidR="0071233F" w:rsidRPr="0071233F" w:rsidRDefault="0071233F" w:rsidP="0071233F">
      <w:pPr>
        <w:pStyle w:val="ListParagraph"/>
        <w:numPr>
          <w:ilvl w:val="0"/>
          <w:numId w:val="14"/>
        </w:numPr>
        <w:ind w:left="720" w:hanging="360"/>
      </w:pPr>
      <w:r w:rsidRPr="0071233F">
        <w:t xml:space="preserve">Consider whether your session’s needs and goals match the sample ones provided in this slide deck. Select from, modify, or add to the sample content as required. </w:t>
      </w:r>
    </w:p>
    <w:p w14:paraId="092878CB" w14:textId="1260CA51" w:rsidR="0071233F" w:rsidRPr="0071233F" w:rsidRDefault="0071233F" w:rsidP="0071233F">
      <w:pPr>
        <w:pStyle w:val="ListParagraph"/>
        <w:numPr>
          <w:ilvl w:val="0"/>
          <w:numId w:val="14"/>
        </w:numPr>
        <w:ind w:left="720" w:hanging="360"/>
      </w:pPr>
      <w:r w:rsidRPr="0071233F">
        <w:t>The sample PowerPoint presentation and worksheets are generic and foundational. Consider whether you’ll need additional slides to meet your objectives. Modify, add or delete questions as you view appropriate, to include specific information related to your discipline and context.</w:t>
      </w:r>
    </w:p>
    <w:p w14:paraId="70AEC83A" w14:textId="77777777" w:rsidR="0071233F" w:rsidRPr="0071233F" w:rsidRDefault="0071233F" w:rsidP="0071233F"/>
    <w:p w14:paraId="7C445A05" w14:textId="77777777" w:rsidR="0071233F" w:rsidRPr="0071233F" w:rsidRDefault="0071233F" w:rsidP="0071233F">
      <w:pPr>
        <w:rPr>
          <w:b/>
        </w:rPr>
      </w:pPr>
      <w:r w:rsidRPr="0071233F">
        <w:rPr>
          <w:b/>
        </w:rPr>
        <w:t xml:space="preserve">Logistics: </w:t>
      </w:r>
    </w:p>
    <w:p w14:paraId="653E62E2" w14:textId="7F4F3123" w:rsidR="0071233F" w:rsidRPr="0071233F" w:rsidRDefault="0071233F" w:rsidP="0071233F">
      <w:pPr>
        <w:pStyle w:val="ListParagraph"/>
        <w:numPr>
          <w:ilvl w:val="0"/>
          <w:numId w:val="17"/>
        </w:numPr>
        <w:ind w:left="720" w:hanging="360"/>
      </w:pPr>
      <w:r w:rsidRPr="0071233F">
        <w:t xml:space="preserve">Allocate about 20 minutes for each worksheet/group activity: this time will be used for you to explain the activity and for your learners to complete the worksheet individually, share their answers with their small group, discuss, prepare to report back to the whole group, and then deliver their small group’s report to the whole group. </w:t>
      </w:r>
    </w:p>
    <w:p w14:paraId="256455B0" w14:textId="6559DA66" w:rsidR="0071233F" w:rsidRPr="0071233F" w:rsidRDefault="0071233F" w:rsidP="0071233F">
      <w:pPr>
        <w:pStyle w:val="ListParagraph"/>
        <w:numPr>
          <w:ilvl w:val="0"/>
          <w:numId w:val="17"/>
        </w:numPr>
        <w:ind w:left="720" w:hanging="360"/>
      </w:pPr>
      <w:r w:rsidRPr="0071233F">
        <w:t>Depending on the group and time available, you may wish to assign one or more worksheets as homework to be completed before the session or as a follow-up assignment.</w:t>
      </w:r>
    </w:p>
    <w:p w14:paraId="153815C2" w14:textId="72BB074E" w:rsidR="0071233F" w:rsidRPr="0071233F" w:rsidRDefault="0071233F" w:rsidP="0071233F">
      <w:pPr>
        <w:pStyle w:val="ListParagraph"/>
        <w:numPr>
          <w:ilvl w:val="0"/>
          <w:numId w:val="17"/>
        </w:numPr>
        <w:ind w:left="720" w:hanging="360"/>
      </w:pPr>
      <w:r w:rsidRPr="0071233F">
        <w:t>Depending on the group and time available, you may also wish to explore the Specialty Training Requirements (STRs) or work through applying the teaching tips and/or the assessment tips to the specialty or program. See the Royal College website for STRs:</w:t>
      </w:r>
    </w:p>
    <w:p w14:paraId="23A77EA2" w14:textId="094991F5" w:rsidR="0071233F" w:rsidRPr="0071233F" w:rsidRDefault="0071233F" w:rsidP="00FC71BB">
      <w:pPr>
        <w:pStyle w:val="ListParagraph"/>
      </w:pPr>
      <w:r w:rsidRPr="0071233F">
        <w:t>English: http://www.royalcollege.ca/portal/page/portal/rc/credentials/specialty_information</w:t>
      </w:r>
      <w:r w:rsidRPr="0071233F">
        <w:br/>
      </w:r>
      <w:r w:rsidRPr="0071233F">
        <w:lastRenderedPageBreak/>
        <w:t xml:space="preserve">French: http://www.collegeroyal.ca/portal/page/portal/rc/credentials/specialty_information </w:t>
      </w:r>
    </w:p>
    <w:p w14:paraId="6BB1C771" w14:textId="77777777" w:rsidR="0071233F" w:rsidRDefault="0071233F" w:rsidP="0071233F"/>
    <w:p w14:paraId="1E3D3BE7" w14:textId="77777777" w:rsidR="0071233F" w:rsidRPr="0071233F" w:rsidRDefault="0071233F" w:rsidP="0071233F">
      <w:pPr>
        <w:rPr>
          <w:b/>
        </w:rPr>
      </w:pPr>
      <w:bookmarkStart w:id="0" w:name="_GoBack"/>
      <w:bookmarkEnd w:id="0"/>
      <w:r w:rsidRPr="0071233F">
        <w:rPr>
          <w:b/>
        </w:rPr>
        <w:t xml:space="preserve">Setting: </w:t>
      </w:r>
    </w:p>
    <w:p w14:paraId="7D78405F" w14:textId="3B051F68" w:rsidR="0071233F" w:rsidRPr="0071233F" w:rsidRDefault="0071233F" w:rsidP="0071233F">
      <w:pPr>
        <w:pStyle w:val="ListParagraph"/>
        <w:numPr>
          <w:ilvl w:val="0"/>
          <w:numId w:val="19"/>
        </w:numPr>
        <w:ind w:left="720" w:hanging="360"/>
      </w:pPr>
      <w:r w:rsidRPr="0071233F">
        <w:t>This teaching session is best done in a small-group format (i.e. less than 30 learners) if possible. It can also be effectively done with a larger group if the room allows for learners to be at tables in groups of five or six. With larger groups, it is helpful to have additional teachers or facilitators available to answer questions arising from the worksheet activities.</w:t>
      </w:r>
    </w:p>
    <w:sectPr w:rsidR="0071233F" w:rsidRPr="0071233F"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98991" w14:textId="77777777" w:rsidR="00902E42" w:rsidRDefault="00902E42" w:rsidP="00CD4EC3">
      <w:r>
        <w:separator/>
      </w:r>
    </w:p>
  </w:endnote>
  <w:endnote w:type="continuationSeparator" w:id="0">
    <w:p w14:paraId="2A5A30D8" w14:textId="77777777" w:rsidR="00902E42" w:rsidRDefault="00902E42"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altName w:val="Times New Roman"/>
    <w:charset w:val="00"/>
    <w:family w:val="auto"/>
    <w:pitch w:val="variable"/>
    <w:sig w:usb0="00000001" w:usb1="00000001" w:usb2="00000000" w:usb3="00000000" w:csb0="00000093" w:csb1="00000000"/>
  </w:font>
  <w:font w:name="AGaramondPro-Bold">
    <w:altName w:val="Times New Roman"/>
    <w:charset w:val="00"/>
    <w:family w:val="auto"/>
    <w:pitch w:val="variable"/>
    <w:sig w:usb0="00000001"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D4EC3" w:rsidRPr="00DD374E" w:rsidRDefault="00CD4EC3"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D4EC3" w:rsidRPr="00C66ADA" w:rsidRDefault="00CD4EC3"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BD6466" w:rsidRPr="00324DFE">
      <w:rPr>
        <w:sz w:val="18"/>
        <w:szCs w:val="18"/>
      </w:rPr>
      <w:t xml:space="preserve">Page </w:t>
    </w:r>
    <w:r w:rsidR="00BD6466" w:rsidRPr="00324DFE">
      <w:rPr>
        <w:sz w:val="18"/>
        <w:szCs w:val="18"/>
      </w:rPr>
      <w:fldChar w:fldCharType="begin"/>
    </w:r>
    <w:r w:rsidR="00BD6466" w:rsidRPr="00324DFE">
      <w:rPr>
        <w:sz w:val="18"/>
        <w:szCs w:val="18"/>
      </w:rPr>
      <w:instrText xml:space="preserve"> PAGE </w:instrText>
    </w:r>
    <w:r w:rsidR="00BD6466" w:rsidRPr="00324DFE">
      <w:rPr>
        <w:sz w:val="18"/>
        <w:szCs w:val="18"/>
      </w:rPr>
      <w:fldChar w:fldCharType="separate"/>
    </w:r>
    <w:r w:rsidR="009924CD">
      <w:rPr>
        <w:sz w:val="18"/>
        <w:szCs w:val="18"/>
      </w:rPr>
      <w:t>2</w:t>
    </w:r>
    <w:r w:rsidR="00BD6466" w:rsidRPr="00324DFE">
      <w:rPr>
        <w:sz w:val="18"/>
        <w:szCs w:val="18"/>
      </w:rPr>
      <w:fldChar w:fldCharType="end"/>
    </w:r>
    <w:r w:rsidR="00BD6466" w:rsidRPr="00324DFE">
      <w:rPr>
        <w:sz w:val="18"/>
        <w:szCs w:val="18"/>
      </w:rPr>
      <w:t xml:space="preserve"> of </w:t>
    </w:r>
    <w:r w:rsidR="00BD6466" w:rsidRPr="00324DFE">
      <w:rPr>
        <w:sz w:val="18"/>
        <w:szCs w:val="18"/>
      </w:rPr>
      <w:fldChar w:fldCharType="begin"/>
    </w:r>
    <w:r w:rsidR="00BD6466" w:rsidRPr="00324DFE">
      <w:rPr>
        <w:sz w:val="18"/>
        <w:szCs w:val="18"/>
      </w:rPr>
      <w:instrText xml:space="preserve"> NUMPAGES </w:instrText>
    </w:r>
    <w:r w:rsidR="00BD6466" w:rsidRPr="00324DFE">
      <w:rPr>
        <w:sz w:val="18"/>
        <w:szCs w:val="18"/>
      </w:rPr>
      <w:fldChar w:fldCharType="separate"/>
    </w:r>
    <w:r w:rsidR="009924CD">
      <w:rPr>
        <w:sz w:val="18"/>
        <w:szCs w:val="18"/>
      </w:rPr>
      <w:t>2</w:t>
    </w:r>
    <w:r w:rsidR="00BD6466"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CD4EC3" w:rsidRPr="001A1668" w:rsidRDefault="00CD4EC3"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6A44E670" w:rsidR="00CD4EC3" w:rsidRPr="00C66ADA" w:rsidRDefault="00CD4EC3"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FB075F" w:rsidRPr="00324DFE">
      <w:rPr>
        <w:sz w:val="18"/>
        <w:szCs w:val="18"/>
      </w:rPr>
      <w:t xml:space="preserve">Page </w:t>
    </w:r>
    <w:r w:rsidR="00FB075F" w:rsidRPr="00324DFE">
      <w:rPr>
        <w:sz w:val="18"/>
        <w:szCs w:val="18"/>
      </w:rPr>
      <w:fldChar w:fldCharType="begin"/>
    </w:r>
    <w:r w:rsidR="00FB075F" w:rsidRPr="00324DFE">
      <w:rPr>
        <w:sz w:val="18"/>
        <w:szCs w:val="18"/>
      </w:rPr>
      <w:instrText xml:space="preserve"> PAGE </w:instrText>
    </w:r>
    <w:r w:rsidR="00FB075F" w:rsidRPr="00324DFE">
      <w:rPr>
        <w:sz w:val="18"/>
        <w:szCs w:val="18"/>
      </w:rPr>
      <w:fldChar w:fldCharType="separate"/>
    </w:r>
    <w:r w:rsidR="009924CD">
      <w:rPr>
        <w:sz w:val="18"/>
        <w:szCs w:val="18"/>
      </w:rPr>
      <w:t>1</w:t>
    </w:r>
    <w:r w:rsidR="00FB075F" w:rsidRPr="00324DFE">
      <w:rPr>
        <w:sz w:val="18"/>
        <w:szCs w:val="18"/>
      </w:rPr>
      <w:fldChar w:fldCharType="end"/>
    </w:r>
    <w:r w:rsidR="00FB075F" w:rsidRPr="00324DFE">
      <w:rPr>
        <w:sz w:val="18"/>
        <w:szCs w:val="18"/>
      </w:rPr>
      <w:t xml:space="preserve"> of </w:t>
    </w:r>
    <w:r w:rsidR="00FB075F" w:rsidRPr="00324DFE">
      <w:rPr>
        <w:sz w:val="18"/>
        <w:szCs w:val="18"/>
      </w:rPr>
      <w:fldChar w:fldCharType="begin"/>
    </w:r>
    <w:r w:rsidR="00FB075F" w:rsidRPr="00324DFE">
      <w:rPr>
        <w:sz w:val="18"/>
        <w:szCs w:val="18"/>
      </w:rPr>
      <w:instrText xml:space="preserve"> NUMPAGES </w:instrText>
    </w:r>
    <w:r w:rsidR="00FB075F" w:rsidRPr="00324DFE">
      <w:rPr>
        <w:sz w:val="18"/>
        <w:szCs w:val="18"/>
      </w:rPr>
      <w:fldChar w:fldCharType="separate"/>
    </w:r>
    <w:r w:rsidR="009924CD">
      <w:rPr>
        <w:sz w:val="18"/>
        <w:szCs w:val="18"/>
      </w:rPr>
      <w:t>2</w:t>
    </w:r>
    <w:r w:rsidR="00FB075F"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BEB8E" w14:textId="77777777" w:rsidR="00902E42" w:rsidRDefault="00902E42" w:rsidP="00CD4EC3">
      <w:r>
        <w:separator/>
      </w:r>
    </w:p>
  </w:footnote>
  <w:footnote w:type="continuationSeparator" w:id="0">
    <w:p w14:paraId="0E1C97C1" w14:textId="77777777" w:rsidR="00902E42" w:rsidRDefault="00902E42"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3759959B" w:rsidR="00CD4EC3" w:rsidRDefault="00CD4EC3" w:rsidP="00B749A2">
    <w:pPr>
      <w:pStyle w:val="RCtitle"/>
    </w:pPr>
    <w:r w:rsidRPr="00B749A2">
      <w:t>CanMEDS Teaching and Assessment Tools Guide</w:t>
    </w:r>
    <w:r w:rsidRPr="00B749A2">
      <w:tab/>
    </w:r>
    <w:r w:rsidRPr="00B749A2">
      <w:tab/>
    </w:r>
    <w:r>
      <w:tab/>
    </w:r>
    <w:r>
      <w:tab/>
    </w:r>
    <w:r w:rsidR="004B59D4">
      <w:t xml:space="preserve">          </w:t>
    </w:r>
    <w:r>
      <w:t xml:space="preserve"> </w:t>
    </w:r>
    <w:r w:rsidR="00FB075F">
      <w:t>Medical Expert</w:t>
    </w:r>
    <w:r>
      <w:t xml:space="preserve"> teaching tool T</w:t>
    </w:r>
    <w:r w:rsidR="000D41E4">
      <w:t>1</w:t>
    </w:r>
  </w:p>
  <w:p w14:paraId="6AD1E097" w14:textId="77777777" w:rsidR="00C66ADA" w:rsidRPr="00B749A2" w:rsidRDefault="00C66ADA"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2B165862"/>
    <w:lvl w:ilvl="0" w:tplc="48B6C5B6">
      <w:start w:val="2"/>
      <w:numFmt w:val="bullet"/>
      <w:lvlText w:val="•"/>
      <w:lvlJc w:val="left"/>
      <w:pPr>
        <w:ind w:left="1080" w:hanging="720"/>
      </w:pPr>
      <w:rPr>
        <w:rFonts w:ascii="Verdana" w:eastAsia="MS ??" w:hAnsi="Verdana"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1"/>
  </w:num>
  <w:num w:numId="5">
    <w:abstractNumId w:val="12"/>
  </w:num>
  <w:num w:numId="6">
    <w:abstractNumId w:val="1"/>
  </w:num>
  <w:num w:numId="7">
    <w:abstractNumId w:val="4"/>
  </w:num>
  <w:num w:numId="8">
    <w:abstractNumId w:val="6"/>
  </w:num>
  <w:num w:numId="9">
    <w:abstractNumId w:val="7"/>
  </w:num>
  <w:num w:numId="10">
    <w:abstractNumId w:val="8"/>
  </w:num>
  <w:num w:numId="11">
    <w:abstractNumId w:val="16"/>
  </w:num>
  <w:num w:numId="12">
    <w:abstractNumId w:val="17"/>
  </w:num>
  <w:num w:numId="13">
    <w:abstractNumId w:val="13"/>
  </w:num>
  <w:num w:numId="14">
    <w:abstractNumId w:val="14"/>
  </w:num>
  <w:num w:numId="15">
    <w:abstractNumId w:val="15"/>
  </w:num>
  <w:num w:numId="16">
    <w:abstractNumId w:val="5"/>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E5D78"/>
    <w:rsid w:val="00203F1C"/>
    <w:rsid w:val="002134CB"/>
    <w:rsid w:val="002258D3"/>
    <w:rsid w:val="0034270C"/>
    <w:rsid w:val="003577B7"/>
    <w:rsid w:val="003710B3"/>
    <w:rsid w:val="003F525C"/>
    <w:rsid w:val="00412654"/>
    <w:rsid w:val="004B59D4"/>
    <w:rsid w:val="004F1318"/>
    <w:rsid w:val="0050552B"/>
    <w:rsid w:val="00540F3D"/>
    <w:rsid w:val="00542BE3"/>
    <w:rsid w:val="005501C5"/>
    <w:rsid w:val="005F00A9"/>
    <w:rsid w:val="005F0B41"/>
    <w:rsid w:val="006957E3"/>
    <w:rsid w:val="006B68B6"/>
    <w:rsid w:val="006D1D5E"/>
    <w:rsid w:val="006F46B0"/>
    <w:rsid w:val="0071233F"/>
    <w:rsid w:val="00797442"/>
    <w:rsid w:val="00801B0E"/>
    <w:rsid w:val="008750EC"/>
    <w:rsid w:val="008B1454"/>
    <w:rsid w:val="008E242A"/>
    <w:rsid w:val="008F18C8"/>
    <w:rsid w:val="00902E42"/>
    <w:rsid w:val="00944BA3"/>
    <w:rsid w:val="0098516B"/>
    <w:rsid w:val="009924CD"/>
    <w:rsid w:val="009F2502"/>
    <w:rsid w:val="00A3380B"/>
    <w:rsid w:val="00AA321A"/>
    <w:rsid w:val="00AB5F37"/>
    <w:rsid w:val="00B749A2"/>
    <w:rsid w:val="00B83AE8"/>
    <w:rsid w:val="00B97CF3"/>
    <w:rsid w:val="00BB7E1E"/>
    <w:rsid w:val="00BD6466"/>
    <w:rsid w:val="00BE5218"/>
    <w:rsid w:val="00C17632"/>
    <w:rsid w:val="00C2341E"/>
    <w:rsid w:val="00C524FC"/>
    <w:rsid w:val="00C66ADA"/>
    <w:rsid w:val="00C75AF3"/>
    <w:rsid w:val="00CB493D"/>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FB075F"/>
    <w:rsid w:val="00FC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82D2-6BF9-4EDE-B023-990BF5A9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4</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8</cp:revision>
  <cp:lastPrinted>2015-09-25T14:32:00Z</cp:lastPrinted>
  <dcterms:created xsi:type="dcterms:W3CDTF">2015-09-29T14:03:00Z</dcterms:created>
  <dcterms:modified xsi:type="dcterms:W3CDTF">2015-11-19T14:25:00Z</dcterms:modified>
</cp:coreProperties>
</file>